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08960" cy="11383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1138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DejaVu Sans" w:hAnsi="DejaVu Sans" w:eastAsia="DejaVu Sans"/>
          <w:b/>
          <w:color w:val="172033"/>
          <w:sz w:val="48"/>
        </w:rPr>
        <w:t>Інструкція адміністратора Lab Practicum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6"/>
        </w:rPr>
        <w:t>Покрокова інструкція для адміністратора</w:t>
      </w:r>
    </w:p>
    <w:p>
      <w:pPr>
        <w:jc w:val="center"/>
      </w:pPr>
      <w:r>
        <w:rPr>
          <w:rFonts w:ascii="DejaVu Sans" w:hAnsi="DejaVu Sans" w:eastAsia="DejaVu Sans"/>
          <w:color w:val="6B7280"/>
          <w:sz w:val="20"/>
        </w:rPr>
        <w:t>Версія інструкції: 14.09.2026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0"/>
        </w:rPr>
        <w:t>https://processlab-lms.com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Для кого ця інструкція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Документ написаний для користувача, який уперше відкрив платформу. Виконуйте дії послідовно. Назви кнопок і розділів наведені так, як вони відображаються в українському інтерфейсі.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Зміст</w:t>
      </w:r>
    </w:p>
    <w:p>
      <w:r>
        <w:rPr>
          <w:rFonts w:ascii="DejaVu Sans" w:hAnsi="DejaVu Sans" w:eastAsia="DejaVu Sans"/>
          <w:b/>
          <w:color w:val="172033"/>
          <w:sz w:val="21"/>
        </w:rPr>
        <w:t>1. Роль адміністратора</w:t>
      </w:r>
    </w:p>
    <w:p>
      <w:r>
        <w:rPr>
          <w:rFonts w:ascii="DejaVu Sans" w:hAnsi="DejaVu Sans" w:eastAsia="DejaVu Sans"/>
          <w:b/>
          <w:color w:val="172033"/>
          <w:sz w:val="21"/>
        </w:rPr>
        <w:t>2. Панель</w:t>
      </w:r>
    </w:p>
    <w:p>
      <w:r>
        <w:rPr>
          <w:rFonts w:ascii="DejaVu Sans" w:hAnsi="DejaVu Sans" w:eastAsia="DejaVu Sans"/>
          <w:b/>
          <w:color w:val="172033"/>
          <w:sz w:val="21"/>
        </w:rPr>
        <w:t>3. Університети</w:t>
      </w:r>
    </w:p>
    <w:p>
      <w:r>
        <w:rPr>
          <w:rFonts w:ascii="DejaVu Sans" w:hAnsi="DejaVu Sans" w:eastAsia="DejaVu Sans"/>
          <w:b/>
          <w:color w:val="172033"/>
          <w:sz w:val="21"/>
        </w:rPr>
        <w:t>4. Ролі користувачів</w:t>
      </w:r>
    </w:p>
    <w:p>
      <w:r>
        <w:rPr>
          <w:rFonts w:ascii="DejaVu Sans" w:hAnsi="DejaVu Sans" w:eastAsia="DejaVu Sans"/>
          <w:b/>
          <w:color w:val="172033"/>
          <w:sz w:val="21"/>
        </w:rPr>
        <w:t>5. Викладачі</w:t>
      </w:r>
    </w:p>
    <w:p>
      <w:r>
        <w:rPr>
          <w:rFonts w:ascii="DejaVu Sans" w:hAnsi="DejaVu Sans" w:eastAsia="DejaVu Sans"/>
          <w:b/>
          <w:color w:val="172033"/>
          <w:sz w:val="21"/>
        </w:rPr>
        <w:t>6. Студенти</w:t>
      </w:r>
    </w:p>
    <w:p>
      <w:r>
        <w:rPr>
          <w:rFonts w:ascii="DejaVu Sans" w:hAnsi="DejaVu Sans" w:eastAsia="DejaVu Sans"/>
          <w:b/>
          <w:color w:val="172033"/>
          <w:sz w:val="21"/>
        </w:rPr>
        <w:t>7. Запити доступу</w:t>
      </w:r>
    </w:p>
    <w:p>
      <w:r>
        <w:rPr>
          <w:rFonts w:ascii="DejaVu Sans" w:hAnsi="DejaVu Sans" w:eastAsia="DejaVu Sans"/>
          <w:b/>
          <w:color w:val="172033"/>
          <w:sz w:val="21"/>
        </w:rPr>
        <w:t>8. Масове зарахування</w:t>
      </w:r>
    </w:p>
    <w:p>
      <w:r>
        <w:rPr>
          <w:rFonts w:ascii="DejaVu Sans" w:hAnsi="DejaVu Sans" w:eastAsia="DejaVu Sans"/>
          <w:b/>
          <w:color w:val="172033"/>
          <w:sz w:val="21"/>
        </w:rPr>
        <w:t>9. Шаблон масової реєстрації</w:t>
      </w:r>
    </w:p>
    <w:p>
      <w:r>
        <w:rPr>
          <w:rFonts w:ascii="DejaVu Sans" w:hAnsi="DejaVu Sans" w:eastAsia="DejaVu Sans"/>
          <w:b/>
          <w:color w:val="172033"/>
          <w:sz w:val="21"/>
        </w:rPr>
        <w:t>10. Лабораторні</w:t>
      </w:r>
    </w:p>
    <w:p>
      <w:r>
        <w:rPr>
          <w:rFonts w:ascii="DejaVu Sans" w:hAnsi="DejaVu Sans" w:eastAsia="DejaVu Sans"/>
          <w:b/>
          <w:color w:val="172033"/>
          <w:sz w:val="21"/>
        </w:rPr>
        <w:t>11. Звіти</w:t>
      </w:r>
    </w:p>
    <w:p>
      <w:r>
        <w:rPr>
          <w:rFonts w:ascii="DejaVu Sans" w:hAnsi="DejaVu Sans" w:eastAsia="DejaVu Sans"/>
          <w:b/>
          <w:color w:val="172033"/>
          <w:sz w:val="21"/>
        </w:rPr>
        <w:t>12. Сповіщення</w:t>
      </w:r>
    </w:p>
    <w:p>
      <w:r>
        <w:rPr>
          <w:rFonts w:ascii="DejaVu Sans" w:hAnsi="DejaVu Sans" w:eastAsia="DejaVu Sans"/>
          <w:b/>
          <w:color w:val="172033"/>
          <w:sz w:val="21"/>
        </w:rPr>
        <w:t>13. Налаштування</w:t>
      </w:r>
    </w:p>
    <w:p>
      <w:r>
        <w:rPr>
          <w:rFonts w:ascii="DejaVu Sans" w:hAnsi="DejaVu Sans" w:eastAsia="DejaVu Sans"/>
          <w:b/>
          <w:color w:val="172033"/>
          <w:sz w:val="21"/>
        </w:rPr>
        <w:t>14. Безпека</w:t>
      </w:r>
    </w:p>
    <w:p>
      <w:r>
        <w:br w:type="page"/>
      </w:r>
    </w:p>
    <w:p>
      <w:pPr>
        <w:pStyle w:val="Heading1"/>
        <w:spacing w:before="160" w:after="80"/>
      </w:pPr>
      <w:r>
        <w:t>1. Роль адміністратора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Адміністратор керує глобальною структурою платформи: університетами, користувачами, ролями, лабораторними, призначеннями викладачів, доступами, звітами й системними налаштуваннями.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Перед змінами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Зміни в університетах, ролях і доступності лабораторних можуть одразу вплинути на багато користувачів. Перед масовими діями перевіряйте обраний scope.</w:t>
            </w:r>
          </w:p>
        </w:tc>
      </w:tr>
    </w:tbl>
    <w:p/>
    <w:p>
      <w:pPr>
        <w:pStyle w:val="Heading1"/>
        <w:spacing w:before="160" w:after="80"/>
      </w:pPr>
      <w:r>
        <w:t>2. Панель адміністратора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Університети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Лабораторні роботи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Запити на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Студенти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Масове зарахування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Групи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Результати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Перевірка звітів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Аналітика звітів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Викладачі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Адміністратори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Ролі користувачів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Налаштування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У Header дзвіночок відповідає за службові сповіщення, а конверт — за месенджер. При невирішених подіях у staff-area з’являється блок «Потрібна ваша увага».</w:t>
      </w:r>
    </w:p>
    <w:p>
      <w:pPr>
        <w:pStyle w:val="Heading1"/>
        <w:spacing w:before="160" w:after="80"/>
      </w:pPr>
      <w:r>
        <w:t>3. Університети та навчальна структура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«Університети».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Створіть університет і задайте короткий стабільний код.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Додайте/актуалізуйте факультети/інститути, кафедри й інші структурні елементи, які використовуються у профілях.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Перевірте, які лабораторні дозволені цьому університету.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Ключова логіка доступу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Спочатку лабораторна має бути доступна університету. Лише після цього студент цього університету може отримати персональний або груповий enrollment.</w:t>
            </w:r>
          </w:p>
        </w:tc>
      </w:tr>
    </w:tbl>
    <w:p/>
    <w:p>
      <w:pPr>
        <w:pStyle w:val="Heading1"/>
        <w:spacing w:before="160" w:after="80"/>
      </w:pPr>
      <w:r>
        <w:t>4. Ролі користувачів і multirole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Нові ролі зберігаються в user_roles. Один акаунт може одночасно мати кілька ролей (наприклад, admin + teacher). profiles.role зберігається лише для сумісності зі старими RPC/RLS.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«Ролі користувачів».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Знайдіть користувача пошуком.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Призначте університет, якщо користувач має роль student або teacher.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Увімкніть/вимкніть потрібні ролі.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Для масового призначення університету відмітьте кількох користувачів і використайте верхній селектор.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3920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rol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20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1. Сторінка керування ролями та університетами користувачів.</w:t>
      </w:r>
    </w:p>
    <w:p>
      <w:pPr>
        <w:pStyle w:val="Heading1"/>
        <w:spacing w:before="160" w:after="80"/>
      </w:pPr>
      <w:r>
        <w:t>5. Викладачі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«Викладачі».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«Запросити викладача».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Вкажіть Email, університет, факультет/інститут, кафедру та посаду (за наявності).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прийняття запрошення викладачем адміністратор отримує службове сповіщення.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Призначте викладачу лабораторні індивідуально або через «Масово призначити лабораторні».</w:t>
      </w:r>
    </w:p>
    <w:p>
      <w:pPr>
        <w:pStyle w:val="Heading1"/>
        <w:spacing w:before="160" w:after="80"/>
      </w:pPr>
      <w:r>
        <w:t>6. Студенти: запрошення, підтвердження, редагування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Студент може зареєструватися сам або бути запрошеним адміністратором.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Після завершення профілю admin/teacher отримує сповіщення про очікування підтвердження.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У «Студенти» відкрийте деталі користувача і перевірте навчальні дані.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Підтвердьте профіль або відхиліть.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За потреби натисніть «Редагувати дані студента» і виправте ПІБ, університет, факультет, групу, номер студентського.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Статуси practicum active/inactive/archived використовуйте для керування поточним доступом без втрати історії.</w:t>
      </w:r>
    </w:p>
    <w:p>
      <w:pPr>
        <w:pStyle w:val="Heading1"/>
        <w:spacing w:before="160" w:after="80"/>
      </w:pPr>
      <w:r>
        <w:t>7. Запити на доступ до лабораторних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«Запити на доступ».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Перевірте студента і лабораторну.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Натисніть «Надати доступ» або «Відхилити».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надання створюється enrollment; студент бачить «Доступ надано».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16781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access-reques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7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2. Запит студента на лабораторну у панелі адміністратора.</w:t>
      </w:r>
    </w:p>
    <w:p>
      <w:pPr>
        <w:pStyle w:val="Heading1"/>
        <w:spacing w:before="160" w:after="80"/>
      </w:pPr>
      <w:r>
        <w:t>8. Масове зарахування і групи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Масове зарахування працює з уже створеними акаунтами студентів. Воно не створює нові облікові записи.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Переконайтеся, що студенти є в системі та належать до правильної групи.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Відкрийте «Масове зарахування».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Оберіть групу і лабораторні.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Підтвердьте операцію.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Перевірте результат у сторінці групи або конкретного студента.</w:t>
      </w:r>
    </w:p>
    <w:p>
      <w:pPr>
        <w:pStyle w:val="Heading1"/>
        <w:spacing w:before="160" w:after="80"/>
      </w:pPr>
      <w:r>
        <w:t>9. Шаблон масової реєстрації студентів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Підготовлено узгоджений Excel-шаблон для майбутнього імпортера нових студентів. Поточна production-логіка масового створення нових акаунтів з Excel/CSV ще не повинна вважатися завершеною, доки окремий імпортер не підключений.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ПІБ — обов’язково.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Email — обов’язково й унікально.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Код університету — обов’язково (наприклад NUFT або NUBIP).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Факультет/інститут — опційно.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Кафедра — опційно.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Група — обов’язково.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Номер студентського — опційно.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Мова листа — uk/en/de/ru.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Безпека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Паролі ніколи не зберігайте в Excel/CSV. Користувач має встановити пароль через безпечне запрошення.</w:t>
            </w:r>
          </w:p>
        </w:tc>
      </w:tr>
    </w:tbl>
    <w:p/>
    <w:p>
      <w:pPr>
        <w:pStyle w:val="Heading1"/>
        <w:spacing w:before="160" w:after="80"/>
      </w:pPr>
      <w:r>
        <w:t>10. Лабораторні роботи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Адміністратор керує чернетками/опублікованими роботами, доступністю лабораторних університетам, порядком і призначеннями викладачів.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SWF/Ruffle лабораторні, які вже працюють, не потрібно переписувати без потреби.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Нові лабораторні без SWF можна робити нативними веб-компонентами.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Публікація, university availability і персональний enrollment — різні рівні доступу.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1796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student-lab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9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3. Перелік лабораторних і результати/доступи студента у staff-area.</w:t>
      </w:r>
    </w:p>
    <w:p>
      <w:pPr>
        <w:pStyle w:val="Heading1"/>
        <w:spacing w:before="160" w:after="80"/>
      </w:pPr>
      <w:r>
        <w:t>11. Перевірка і аналітика звітів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Admin бачить активну чергу submitted-звітів, може відкривати звіт, залишати feedback, приймати/повертати на доопрацювання, переглядати версії й аналітику.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28134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port-re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13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4. Черга звітів, що очікують перевірки.</w:t>
      </w:r>
    </w:p>
    <w:p>
      <w:pPr>
        <w:pStyle w:val="Heading1"/>
        <w:spacing w:before="160" w:after="80"/>
      </w:pPr>
      <w:r>
        <w:t>12. Сповіщення, месенджер і запрошення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Notification Center (дзвіночок) — системні події: очікування підтвердження профілю, запити на лабораторні, прийняті запрошення.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Messenger (конверт) — персональні повідомлення між користувачами.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Після прийняття запрошення студентом admin/teacher відповідного університету отримують подію; після прийняття запрошення викладачем — admin.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Старі невирішені pending-запити синхронізуються при вході staff.</w:t>
      </w:r>
    </w:p>
    <w:p>
      <w:pPr>
        <w:pStyle w:val="Heading1"/>
        <w:spacing w:before="160" w:after="80"/>
      </w:pPr>
      <w:r>
        <w:t>13. Налаштування і локалізація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У системі використовуються українська, англійська, німецька та російська локалі (якщо вони увімкнені в налаштуваннях). Адміністратор контролює системні параметри в межах доступних settings.</w:t>
      </w:r>
    </w:p>
    <w:p>
      <w:pPr>
        <w:pStyle w:val="Heading1"/>
        <w:spacing w:before="160" w:after="80"/>
      </w:pPr>
      <w:r>
        <w:t>14. Безпека й експлуатаційні правила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змінюйте RLS/RPC без резервної копії і перевірки build/smoke test.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покладайтеся лише на приховування кнопок: критичні права мають перевірятися сервером.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Перед масовими змінами університету або ролей перевіряйте вибір користувачів.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Після значних змін виконуйте npm run build, потім тест admin → teacher → student.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Зберігайте стабільні точки через git commit/push.</w:t>
      </w:r>
    </w:p>
    <w:p>
      <w:pPr>
        <w:pStyle w:val="Heading1"/>
        <w:spacing w:before="160" w:after="80"/>
      </w:pPr>
      <w:r>
        <w:t>Швидкий контрольний список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Налаштовані університети/структура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Перевірені ролі користувачів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Викладачі запрошені та мають lab assignments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Профілі студентів підтверджуються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Запити на лабораторні опрацьовуються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Звіти/аналітика доступні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Службові сповіщення працюють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Після змін проходить npm run build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Підтримка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Якщо проблема не вирішується після оновлення сторінки та повторного входу, зафіксуйте: роль користувача, URL сторінки, точний текст помилки та скріншот. Це значно прискорює діагностику.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 w:eastAsia="DejaVu Sans"/>
        <w:color w:val="6B7280"/>
        <w:sz w:val="16"/>
      </w:rPr>
      <w:t xml:space="preserve">Стор.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DejaVu Sans" w:hAnsi="DejaVu Sans" w:eastAsia="DejaVu Sans"/>
        <w:b/>
        <w:color w:val="1F5FBF"/>
        <w:sz w:val="17"/>
      </w:rPr>
      <w:t>Lab Practicum • ProcessLab LMS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20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F5F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720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7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i/>
      <w:color w:val="4F81BD" w:themeColor="accent1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