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11383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1138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DejaVu Sans" w:hAnsi="DejaVu Sans" w:eastAsia="DejaVu Sans"/>
          <w:b/>
          <w:color w:val="172033"/>
          <w:sz w:val="48"/>
        </w:rPr>
        <w:t>Інструкція студента Lab Practicum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6"/>
        </w:rPr>
        <w:t>Покрокова інструкція для першого входу і щоденної роботи</w:t>
      </w:r>
    </w:p>
    <w:p>
      <w:pPr>
        <w:jc w:val="center"/>
      </w:pPr>
      <w:r>
        <w:rPr>
          <w:rFonts w:ascii="DejaVu Sans" w:hAnsi="DejaVu Sans" w:eastAsia="DejaVu Sans"/>
          <w:color w:val="6B7280"/>
          <w:sz w:val="20"/>
        </w:rPr>
        <w:t>Версія інструкції: 14.09.2026</w:t>
      </w:r>
    </w:p>
    <w:p>
      <w:pPr>
        <w:jc w:val="center"/>
      </w:pPr>
      <w:r>
        <w:rPr>
          <w:rFonts w:ascii="DejaVu Sans" w:hAnsi="DejaVu Sans" w:eastAsia="DejaVu Sans"/>
          <w:b/>
          <w:color w:val="1F5FBF"/>
          <w:sz w:val="20"/>
        </w:rPr>
        <w:t>https://processlab-lms.com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кого ця інструкція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Документ написаний для користувача, який уперше відкрив платформу. Виконуйте дії послідовно. Назви кнопок і розділів наведені так, як вони відображаються в українському інтерфейсі.</w:t>
            </w:r>
          </w:p>
        </w:tc>
      </w:tr>
    </w:tbl>
    <w:p/>
    <w:p>
      <w:r>
        <w:br w:type="page"/>
      </w:r>
    </w:p>
    <w:p>
      <w:pPr>
        <w:pStyle w:val="Heading1"/>
        <w:spacing w:before="160" w:after="80"/>
      </w:pPr>
      <w:r>
        <w:t>Зміст</w:t>
      </w:r>
    </w:p>
    <w:p>
      <w:r>
        <w:rPr>
          <w:rFonts w:ascii="DejaVu Sans" w:hAnsi="DejaVu Sans" w:eastAsia="DejaVu Sans"/>
          <w:b/>
          <w:color w:val="172033"/>
          <w:sz w:val="21"/>
        </w:rPr>
        <w:t>1. Перше знайомство</w:t>
      </w:r>
    </w:p>
    <w:p>
      <w:r>
        <w:rPr>
          <w:rFonts w:ascii="DejaVu Sans" w:hAnsi="DejaVu Sans" w:eastAsia="DejaVu Sans"/>
          <w:b/>
          <w:color w:val="172033"/>
          <w:sz w:val="21"/>
        </w:rPr>
        <w:t>2. Реєстрація і вхід</w:t>
      </w:r>
    </w:p>
    <w:p>
      <w:r>
        <w:rPr>
          <w:rFonts w:ascii="DejaVu Sans" w:hAnsi="DejaVu Sans" w:eastAsia="DejaVu Sans"/>
          <w:b/>
          <w:color w:val="172033"/>
          <w:sz w:val="21"/>
        </w:rPr>
        <w:t>3. Відновлення пароля</w:t>
      </w:r>
    </w:p>
    <w:p>
      <w:r>
        <w:rPr>
          <w:rFonts w:ascii="DejaVu Sans" w:hAnsi="DejaVu Sans" w:eastAsia="DejaVu Sans"/>
          <w:b/>
          <w:color w:val="172033"/>
          <w:sz w:val="21"/>
        </w:rPr>
        <w:t>4. Навчальний профіль</w:t>
      </w:r>
    </w:p>
    <w:p>
      <w:r>
        <w:rPr>
          <w:rFonts w:ascii="DejaVu Sans" w:hAnsi="DejaVu Sans" w:eastAsia="DejaVu Sans"/>
          <w:b/>
          <w:color w:val="172033"/>
          <w:sz w:val="21"/>
        </w:rPr>
        <w:t>5. Доступ до лабораторних</w:t>
      </w:r>
    </w:p>
    <w:p>
      <w:r>
        <w:rPr>
          <w:rFonts w:ascii="DejaVu Sans" w:hAnsi="DejaVu Sans" w:eastAsia="DejaVu Sans"/>
          <w:b/>
          <w:color w:val="172033"/>
          <w:sz w:val="21"/>
        </w:rPr>
        <w:t>6. Виконання лабораторної</w:t>
      </w:r>
    </w:p>
    <w:p>
      <w:r>
        <w:rPr>
          <w:rFonts w:ascii="DejaVu Sans" w:hAnsi="DejaVu Sans" w:eastAsia="DejaVu Sans"/>
          <w:b/>
          <w:color w:val="172033"/>
          <w:sz w:val="21"/>
        </w:rPr>
        <w:t>7. Звіти</w:t>
      </w:r>
    </w:p>
    <w:p>
      <w:r>
        <w:rPr>
          <w:rFonts w:ascii="DejaVu Sans" w:hAnsi="DejaVu Sans" w:eastAsia="DejaVu Sans"/>
          <w:b/>
          <w:color w:val="172033"/>
          <w:sz w:val="21"/>
        </w:rPr>
        <w:t>8. Повідомлення</w:t>
      </w:r>
    </w:p>
    <w:p>
      <w:r>
        <w:rPr>
          <w:rFonts w:ascii="DejaVu Sans" w:hAnsi="DejaVu Sans" w:eastAsia="DejaVu Sans"/>
          <w:b/>
          <w:color w:val="172033"/>
          <w:sz w:val="21"/>
        </w:rPr>
        <w:t>9. Типові проблеми</w:t>
      </w:r>
    </w:p>
    <w:p>
      <w:r>
        <w:br w:type="page"/>
      </w:r>
    </w:p>
    <w:p>
      <w:pPr>
        <w:pStyle w:val="Heading1"/>
        <w:spacing w:before="160" w:after="80"/>
      </w:pPr>
      <w:r>
        <w:t>1. Перше знайомство з платформою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Lab Practicum — навчальна платформа для доступу до лабораторних робіт, теорії, інтерактивних моделей, тестів і звітів. Офіційна адреса: processlab-lms.com.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Логотип у верхній частині сторінки повертає до основного кабінету.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«Особистий кабінет» — перехід до робочої сторінки користувача.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«Інструкція» — ця довідка на сайті.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— службові сповіщення; конверт — внутрішній месенджер.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Меню профілю праворуч містить дані користувача, перемикання ролі (якщо ролей кілька) та вихід.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5426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dashboar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2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1. Студентський кабінет після підтвердження профілю.</w:t>
      </w:r>
    </w:p>
    <w:p>
      <w:pPr>
        <w:pStyle w:val="Heading1"/>
        <w:spacing w:before="160" w:after="80"/>
      </w:pPr>
      <w:r>
        <w:t>2. Реєстрація, запрошення і вхід</w:t>
      </w:r>
    </w:p>
    <w:p>
      <w:pPr>
        <w:pStyle w:val="Heading2"/>
        <w:spacing w:before="160" w:after="80"/>
      </w:pPr>
      <w:r>
        <w:t>2.1. Самостійна реєстрація студента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b/>
          <w:color w:val="172033"/>
          <w:sz w:val="21"/>
        </w:rPr>
        <w:t xml:space="preserve">Відкрийте сайт. </w:t>
      </w:r>
      <w:r>
        <w:rPr>
          <w:rFonts w:ascii="DejaVu Sans" w:hAnsi="DejaVu Sans" w:eastAsia="DejaVu Sans"/>
          <w:sz w:val="21"/>
        </w:rPr>
        <w:t>Перейдіть на processlab-lms.com і натисніть «Вхід»/«Реєстрація».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b/>
          <w:color w:val="172033"/>
          <w:sz w:val="21"/>
        </w:rPr>
        <w:t xml:space="preserve">Оберіть «Реєстрація». </w:t>
      </w:r>
      <w:r>
        <w:rPr>
          <w:rFonts w:ascii="DejaVu Sans" w:hAnsi="DejaVu Sans" w:eastAsia="DejaVu Sans"/>
          <w:sz w:val="21"/>
        </w:rPr>
        <w:t>Вкажіть ПІБ, електронну пошту і пароль (не менше 6 символів).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b/>
          <w:color w:val="172033"/>
          <w:sz w:val="21"/>
        </w:rPr>
        <w:t xml:space="preserve">Підтвердьте Email. </w:t>
      </w:r>
      <w:r>
        <w:rPr>
          <w:rFonts w:ascii="DejaVu Sans" w:hAnsi="DejaVu Sans" w:eastAsia="DejaVu Sans"/>
          <w:sz w:val="21"/>
        </w:rPr>
        <w:t>Якщо система просить підтвердження, відкрийте лист Lab Practicum і перейдіть за посиланням.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b/>
          <w:color w:val="172033"/>
          <w:sz w:val="21"/>
        </w:rPr>
        <w:t xml:space="preserve">Увійдіть. </w:t>
      </w:r>
      <w:r>
        <w:rPr>
          <w:rFonts w:ascii="DejaVu Sans" w:hAnsi="DejaVu Sans" w:eastAsia="DejaVu Sans"/>
          <w:sz w:val="21"/>
        </w:rPr>
        <w:t>Після підтвердження адреси використовуйте свій Email і пароль.</w:t>
      </w:r>
    </w:p>
    <w:p>
      <w:pPr>
        <w:pStyle w:val="Heading2"/>
        <w:spacing w:before="160" w:after="80"/>
      </w:pPr>
      <w:r>
        <w:t>2.2. Вхід через Google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На сторінці входу можна скористатися кнопкою «Продовжити з Google». Після авторизації система поверне вас у Lab Practicum.</w:t>
      </w:r>
    </w:p>
    <w:p>
      <w:pPr>
        <w:pStyle w:val="Heading2"/>
        <w:spacing w:before="160" w:after="80"/>
      </w:pPr>
      <w:r>
        <w:t>2.3. Вхід за персональним запрошенням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лист-запрошення, надісланий адміністратором.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Перейдіть за кнопкою/посиланням у листі.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Встановіть пароль на сторінці Lab Practicum.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Після успішного встановлення пароля увійдіть у платформу.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Важливо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Не передавайте пароль іншим людям. Адміністратор і викладач не повинні запитувати ваш пароль.</w:t>
            </w:r>
          </w:p>
        </w:tc>
      </w:tr>
    </w:tbl>
    <w:p/>
    <w:p>
      <w:pPr>
        <w:pStyle w:val="Heading1"/>
        <w:spacing w:before="160" w:after="80"/>
      </w:pPr>
      <w:r>
        <w:t>3. Якщо забули пароль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На сторінці входу введіть свій Email.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«Забули пароль?».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Надішліть посилання для відновлення.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Перевірте пошту (і папку «Спам»).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Перейдіть за посиланням і встановіть новий пароль.</w:t>
      </w:r>
    </w:p>
    <w:p>
      <w:pPr>
        <w:pStyle w:val="Heading1"/>
        <w:spacing w:before="160" w:after="80"/>
      </w:pPr>
      <w:r>
        <w:t>4. Заповнення навчального профілю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Після першого входу студент має завершити навчальний профіль. До підтвердження профілю частина функцій може бути недоступною.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Оберіть університет зі списку.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Оберіть або введіть факультет / інститут.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Оберіть або введіть кафедру, якщо вона використовується.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Оберіть або введіть навчальну групу.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Вкажіть номер студентського / залікової книжки, якщо він потрібний.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6. </w:t>
      </w:r>
      <w:r>
        <w:rPr>
          <w:rFonts w:ascii="DejaVu Sans" w:hAnsi="DejaVu Sans" w:eastAsia="DejaVu Sans"/>
          <w:sz w:val="21"/>
        </w:rPr>
        <w:t>Збережіть профіль.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Що відбувається далі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Після збереження профіль переходить у стан очікування. Викладач вашого університету або адміністратор бачить службове сповіщення і може підтвердити профіль.</w:t>
            </w:r>
          </w:p>
        </w:tc>
      </w:tr>
    </w:tbl>
    <w:p/>
    <w:p>
      <w:pPr>
        <w:pStyle w:val="Heading1"/>
        <w:spacing w:before="160" w:after="80"/>
      </w:pPr>
      <w:r>
        <w:t>5. Доступ до лабораторних робіт</w:t>
      </w:r>
    </w:p>
    <w:p>
      <w:pPr>
        <w:spacing w:after="80"/>
      </w:pPr>
      <w:r>
        <w:rPr>
          <w:rFonts w:ascii="DejaVu Sans" w:hAnsi="DejaVu Sans" w:eastAsia="DejaVu Sans"/>
          <w:sz w:val="21"/>
        </w:rPr>
        <w:t>Підтверджений профіль не означає автоматичний доступ до всіх лабораторних. Спочатку лабораторна має бути доступна вашому університету, а потім доступ надається конкретному студенту або групі.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«Особистий кабінет».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Знайдіть потрібну лабораторну роботу.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Якщо є кнопка «Запросити доступ» — натисніть її.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Статус зміниться на «Очікує підтвердження».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Після схвалення викладачем/адміністратором з’явиться «Доступ надано» і кнопка «Відкрити лабораторну».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6719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lab-reque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19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2. Запит студента на доступ до лабораторної роботи.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6DE"/>
            <w:tcBorders>
              <w:top w:val="single" w:sz="6" w:color="D69E2E"/>
              <w:left w:val="single" w:sz="6" w:color="D69E2E"/>
              <w:bottom w:val="single" w:sz="6" w:color="D69E2E"/>
              <w:right w:val="single" w:sz="6" w:color="D69E2E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Якщо доступ не з’явився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Оновіть сторінку. Якщо запит довго не опрацьовується, напишіть викладачу через внутрішній месенджер.</w:t>
            </w:r>
          </w:p>
        </w:tc>
      </w:tr>
    </w:tbl>
    <w:p/>
    <w:p>
      <w:pPr>
        <w:pStyle w:val="Heading1"/>
        <w:spacing w:before="160" w:after="80"/>
      </w:pPr>
      <w:r>
        <w:t>6. Як виконувати лабораторну роботу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b/>
          <w:color w:val="172033"/>
          <w:sz w:val="21"/>
        </w:rPr>
        <w:t xml:space="preserve">Відкрийте теорію. </w:t>
      </w:r>
      <w:r>
        <w:rPr>
          <w:rFonts w:ascii="DejaVu Sans" w:hAnsi="DejaVu Sans" w:eastAsia="DejaVu Sans"/>
          <w:sz w:val="21"/>
        </w:rPr>
        <w:t>Ознайомтеся з метою, схемою установки, формулами і порядком виконання.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b/>
          <w:color w:val="172033"/>
          <w:sz w:val="21"/>
        </w:rPr>
        <w:t xml:space="preserve">Перейдіть до «Лабораторна робота». </w:t>
      </w:r>
      <w:r>
        <w:rPr>
          <w:rFonts w:ascii="DejaVu Sans" w:hAnsi="DejaVu Sans" w:eastAsia="DejaVu Sans"/>
          <w:sz w:val="21"/>
        </w:rPr>
        <w:t>Старі інтерактивні роботи запускаються через Ruffle (SWF). Нові роботи можуть мати нативний веб-інтерфейс.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b/>
          <w:color w:val="172033"/>
          <w:sz w:val="21"/>
        </w:rPr>
        <w:t xml:space="preserve">Виконайте досліди. </w:t>
      </w:r>
      <w:r>
        <w:rPr>
          <w:rFonts w:ascii="DejaVu Sans" w:hAnsi="DejaVu Sans" w:eastAsia="DejaVu Sans"/>
          <w:sz w:val="21"/>
        </w:rPr>
        <w:t>Записуйте числові результати, які потрібні для звіту.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b/>
          <w:color w:val="172033"/>
          <w:sz w:val="21"/>
        </w:rPr>
        <w:t xml:space="preserve">Пройдіть тест. </w:t>
      </w:r>
      <w:r>
        <w:rPr>
          <w:rFonts w:ascii="DejaVu Sans" w:hAnsi="DejaVu Sans" w:eastAsia="DejaVu Sans"/>
          <w:sz w:val="21"/>
        </w:rPr>
        <w:t>Кількість питань, прохідний бал, число спроб і час задаються для конкретної роботи.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b/>
          <w:color w:val="172033"/>
          <w:sz w:val="21"/>
        </w:rPr>
        <w:t xml:space="preserve">Перевірте результат. </w:t>
      </w:r>
      <w:r>
        <w:rPr>
          <w:rFonts w:ascii="DejaVu Sans" w:hAnsi="DejaVu Sans" w:eastAsia="DejaVu Sans"/>
          <w:sz w:val="21"/>
        </w:rPr>
        <w:t>У кабінеті відображаються ваші власні бали та історія спроб.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Для SWF/Ruffle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Не закривайте вкладку під час досліду, якщо модель не зберігає стан. На невеликих екранах зручніше використовувати альбомну орієнтацію.</w:t>
            </w:r>
          </w:p>
        </w:tc>
      </w:tr>
    </w:tbl>
    <w:p/>
    <w:p>
      <w:pPr>
        <w:pStyle w:val="Heading1"/>
        <w:spacing w:before="160" w:after="80"/>
      </w:pPr>
      <w:r>
        <w:t>7. Звіти студента</w:t>
      </w:r>
    </w:p>
    <w:p>
      <w:pPr>
        <w:pStyle w:val="Heading2"/>
        <w:spacing w:before="160" w:after="80"/>
      </w:pPr>
      <w:r>
        <w:t>7.1. Створення звіту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Відкрийте доступну лабораторну.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«Створити / відкрити звіт».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Або відкрийте «Мої звіти» з кабінету.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Заповніть поля звіту. Для окремих лабораторних можуть бути спеціальні таблиці експериментальних даних і автоматичні розрахунки.</w:t>
      </w:r>
    </w:p>
    <w:p>
      <w:pPr>
        <w:pStyle w:val="Heading2"/>
        <w:spacing w:before="160" w:after="80"/>
      </w:pPr>
      <w:r>
        <w:t>7.2. Статуси звіту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2FF"/>
          </w:tcPr>
          <w:p>
            <w:r>
              <w:t>Статус</w:t>
            </w:r>
          </w:p>
        </w:tc>
        <w:tc>
          <w:tcPr>
            <w:tcW w:type="dxa" w:w="5112"/>
            <w:shd w:fill="EAF2FF"/>
          </w:tcPr>
          <w:p>
            <w:r>
              <w:t>Що означає</w:t>
            </w:r>
          </w:p>
        </w:tc>
      </w:tr>
      <w:tr>
        <w:tc>
          <w:tcPr>
            <w:tcW w:type="dxa" w:w="5112"/>
          </w:tcPr>
          <w:p>
            <w:r>
              <w:t>Чернетка (draft)</w:t>
            </w:r>
          </w:p>
        </w:tc>
        <w:tc>
          <w:tcPr>
            <w:tcW w:type="dxa" w:w="5112"/>
          </w:tcPr>
          <w:p>
            <w:r>
              <w:t>Можна редагувати й видалити.</w:t>
            </w:r>
          </w:p>
        </w:tc>
      </w:tr>
      <w:tr>
        <w:tc>
          <w:tcPr>
            <w:tcW w:type="dxa" w:w="5112"/>
          </w:tcPr>
          <w:p>
            <w:r>
              <w:t>Подано (submitted)</w:t>
            </w:r>
          </w:p>
        </w:tc>
        <w:tc>
          <w:tcPr>
            <w:tcW w:type="dxa" w:w="5112"/>
          </w:tcPr>
          <w:p>
            <w:r>
              <w:t>Звіт очікує перевірки; редагування тимчасово недоступне.</w:t>
            </w:r>
          </w:p>
        </w:tc>
      </w:tr>
      <w:tr>
        <w:tc>
          <w:tcPr>
            <w:tcW w:type="dxa" w:w="5112"/>
          </w:tcPr>
          <w:p>
            <w:r>
              <w:t>На доопрацювання (needs_revision)</w:t>
            </w:r>
          </w:p>
        </w:tc>
        <w:tc>
          <w:tcPr>
            <w:tcW w:type="dxa" w:w="5112"/>
          </w:tcPr>
          <w:p>
            <w:r>
              <w:t>Викладач залишив зауваження. Виправте звіт і подайте повторно.</w:t>
            </w:r>
          </w:p>
        </w:tc>
      </w:tr>
      <w:tr>
        <w:tc>
          <w:tcPr>
            <w:tcW w:type="dxa" w:w="5112"/>
          </w:tcPr>
          <w:p>
            <w:r>
              <w:t>Прийнято (approved)</w:t>
            </w:r>
          </w:p>
        </w:tc>
        <w:tc>
          <w:tcPr>
            <w:tcW w:type="dxa" w:w="5112"/>
          </w:tcPr>
          <w:p>
            <w:r>
              <w:t>Звіт перевірений і прийнятий.</w:t>
            </w:r>
          </w:p>
        </w:tc>
      </w:tr>
      <w:tr>
        <w:tc>
          <w:tcPr>
            <w:tcW w:type="dxa" w:w="5112"/>
          </w:tcPr>
          <w:p>
            <w:r>
              <w:t>Архів (archived)</w:t>
            </w:r>
          </w:p>
        </w:tc>
        <w:tc>
          <w:tcPr>
            <w:tcW w:type="dxa" w:w="5112"/>
          </w:tcPr>
          <w:p>
            <w:r>
              <w:t>Завершений звіт перенесено в архів.</w:t>
            </w:r>
          </w:p>
        </w:tc>
      </w:tr>
    </w:tbl>
    <w:p>
      <w:pPr>
        <w:pStyle w:val="Heading2"/>
        <w:spacing w:before="160" w:after="80"/>
      </w:pPr>
      <w:r>
        <w:t>7.3. Подання і повторне подання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1. </w:t>
      </w:r>
      <w:r>
        <w:rPr>
          <w:rFonts w:ascii="DejaVu Sans" w:hAnsi="DejaVu Sans" w:eastAsia="DejaVu Sans"/>
          <w:sz w:val="21"/>
        </w:rPr>
        <w:t>Перед поданням переконайтеся, що поля збережені. У сучасному редакторі частина полів автозберігається.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2. </w:t>
      </w:r>
      <w:r>
        <w:rPr>
          <w:rFonts w:ascii="DejaVu Sans" w:hAnsi="DejaVu Sans" w:eastAsia="DejaVu Sans"/>
          <w:sz w:val="21"/>
        </w:rPr>
        <w:t>Натисніть «Подати на перевірку».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3. </w:t>
      </w:r>
      <w:r>
        <w:rPr>
          <w:rFonts w:ascii="DejaVu Sans" w:hAnsi="DejaVu Sans" w:eastAsia="DejaVu Sans"/>
          <w:sz w:val="21"/>
        </w:rPr>
        <w:t>Якщо викладач повернув роботу — прочитайте коментарі.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4. </w:t>
      </w:r>
      <w:r>
        <w:rPr>
          <w:rFonts w:ascii="DejaVu Sans" w:hAnsi="DejaVu Sans" w:eastAsia="DejaVu Sans"/>
          <w:sz w:val="21"/>
        </w:rPr>
        <w:t>Внесіть зміни, збережіть і натисніть «Повторно подати на перевірку».</w:t>
      </w:r>
    </w:p>
    <w:p>
      <w:pPr>
        <w:spacing w:after="40"/>
        <w:ind w:left="259" w:hanging="259"/>
      </w:pPr>
      <w:r>
        <w:rPr>
          <w:rFonts w:ascii="DejaVu Sans" w:hAnsi="DejaVu Sans" w:eastAsia="DejaVu Sans"/>
          <w:b/>
          <w:color w:val="1F5FBF"/>
          <w:sz w:val="21"/>
        </w:rPr>
        <w:t xml:space="preserve">5. </w:t>
      </w:r>
      <w:r>
        <w:rPr>
          <w:rFonts w:ascii="DejaVu Sans" w:hAnsi="DejaVu Sans" w:eastAsia="DejaVu Sans"/>
          <w:sz w:val="21"/>
        </w:rPr>
        <w:t>Система зберігає версії подань, тому попередня версія не втрачається.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6410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repor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1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Рис. 3. Поданий лабораторний звіт у студентському кабінеті.</w:t>
      </w:r>
    </w:p>
    <w:p>
      <w:pPr>
        <w:pStyle w:val="Heading1"/>
        <w:spacing w:before="160" w:after="80"/>
      </w:pPr>
      <w:r>
        <w:t>8. Повідомлення і службові сповіщення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Дзвіночок у Header — службові сповіщення системи.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Конверт — внутрішній месенджер.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Непрочитані події/повідомлення позначаються лічильником.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Викладач може написати студенту в контексті лабораторної або звіту.</w:t>
      </w:r>
    </w:p>
    <w:p>
      <w:pPr>
        <w:pStyle w:val="Heading1"/>
        <w:spacing w:before="160" w:after="80"/>
      </w:pPr>
      <w:r>
        <w:t>9. Типові проблеми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бачу лабораторну: перевірте, чи профіль підтверджений і чи лабораторна доступна університету.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Кнопка «Запросити доступ» не зникає: оновіть сторінку після рішення викладача.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SWF не запускається: перезавантажте сторінку, використовуйте сучасний Chrome/Edge; за потреби спробуйте ПК замість телефону.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Лист не прийшов: перевірте «Спам», правильність Email і зачекайте кілька хвилин.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Не можу редагувати submitted/approved звіт: це очікувана поведінка. Редагування знову доступне після повернення на доопрацювання.</w:t>
      </w:r>
    </w:p>
    <w:p>
      <w:pPr>
        <w:pStyle w:val="Heading1"/>
        <w:spacing w:before="160" w:after="80"/>
      </w:pPr>
      <w:r>
        <w:t>Швидкий контрольний список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Можу увійти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Профіль заповнений і підтверджений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Бачу потрібні лабораторні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Знаю, як запросити доступ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 порядок Теорія → Лабораторна → Тест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Знаю, де «Мої звіти»</w:t>
      </w:r>
    </w:p>
    <w:p>
      <w:pPr>
        <w:pStyle w:val="ListBullet"/>
      </w:pPr>
      <w:r>
        <w:rPr>
          <w:rFonts w:ascii="DejaVu Sans" w:hAnsi="DejaVu Sans" w:eastAsia="DejaVu Sans"/>
          <w:sz w:val="21"/>
        </w:rPr>
        <w:t>Розрізняю дзвіночок і конверт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2FF"/>
            <w:tcBorders>
              <w:top w:val="single" w:sz="6" w:color="1F5FBF"/>
              <w:left w:val="single" w:sz="6" w:color="1F5FBF"/>
              <w:bottom w:val="single" w:sz="6" w:color="1F5FBF"/>
              <w:right w:val="single" w:sz="6" w:color="1F5FBF"/>
            </w:tcBorders>
          </w:tcPr>
          <w:p>
            <w:r>
              <w:rPr>
                <w:rFonts w:ascii="DejaVu Sans" w:hAnsi="DejaVu Sans" w:eastAsia="DejaVu Sans"/>
                <w:b/>
                <w:color w:val="172033"/>
                <w:sz w:val="21"/>
              </w:rPr>
              <w:t>Підтримка</w:t>
              <w:br/>
            </w:r>
            <w:r>
              <w:rPr>
                <w:rFonts w:ascii="DejaVu Sans" w:hAnsi="DejaVu Sans" w:eastAsia="DejaVu Sans"/>
                <w:color w:val="172033"/>
                <w:sz w:val="19"/>
              </w:rPr>
              <w:t>Якщо проблема не вирішується після оновлення сторінки та повторного входу, зафіксуйте: роль користувача, URL сторінки, точний текст помилки та скріншот. Це значно прискорює діагностику.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 w:eastAsia="DejaVu Sans"/>
        <w:color w:val="6B7280"/>
        <w:sz w:val="16"/>
      </w:rPr>
      <w:t xml:space="preserve">Стор.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 w:eastAsia="DejaVu Sans"/>
        <w:b/>
        <w:color w:val="1F5FBF"/>
        <w:sz w:val="17"/>
      </w:rPr>
      <w:t>Lab Practicum • ProcessLab LMS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203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F5F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720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i/>
      <w:color w:val="4F81BD" w:themeColor="accent1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